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11279E" w:rsidRPr="0061798C" w:rsidP="0061798C">
      <w:pPr>
        <w:spacing w:before="120" w:after="120" w:line="240" w:lineRule="auto"/>
        <w:rPr>
          <w:rFonts w:ascii="Arial" w:hAnsi="Arial" w:cs="Arial"/>
          <w:b/>
          <w:sz w:val="28"/>
          <w:szCs w:val="28"/>
        </w:rPr>
      </w:pPr>
      <w:r w:rsidRPr="0061798C">
        <w:rPr>
          <w:rFonts w:ascii="Arial" w:hAnsi="Arial" w:cs="Arial"/>
          <w:b/>
          <w:sz w:val="28"/>
          <w:szCs w:val="28"/>
        </w:rPr>
        <w:t xml:space="preserve">Protocol for the relationship between </w:t>
      </w:r>
      <w:r>
        <w:rPr>
          <w:rFonts w:ascii="Arial" w:hAnsi="Arial" w:cs="Arial"/>
          <w:b/>
          <w:sz w:val="28"/>
          <w:szCs w:val="28"/>
        </w:rPr>
        <w:t>Grant Thornton</w:t>
      </w:r>
      <w:r w:rsidRPr="0061798C">
        <w:rPr>
          <w:rFonts w:ascii="Arial" w:hAnsi="Arial" w:cs="Arial"/>
          <w:b/>
          <w:sz w:val="28"/>
          <w:szCs w:val="28"/>
        </w:rPr>
        <w:t xml:space="preserve"> and Lancashire County Council's </w:t>
      </w:r>
      <w:r>
        <w:rPr>
          <w:rFonts w:ascii="Arial" w:hAnsi="Arial" w:cs="Arial"/>
          <w:b/>
          <w:sz w:val="28"/>
          <w:szCs w:val="28"/>
        </w:rPr>
        <w:t>I</w:t>
      </w:r>
      <w:r w:rsidRPr="0061798C">
        <w:rPr>
          <w:rFonts w:ascii="Arial" w:hAnsi="Arial" w:cs="Arial"/>
          <w:b/>
          <w:sz w:val="28"/>
          <w:szCs w:val="28"/>
        </w:rPr>
        <w:t xml:space="preserve">nternal </w:t>
      </w:r>
      <w:r>
        <w:rPr>
          <w:rFonts w:ascii="Arial" w:hAnsi="Arial" w:cs="Arial"/>
          <w:b/>
          <w:sz w:val="28"/>
          <w:szCs w:val="28"/>
        </w:rPr>
        <w:t>A</w:t>
      </w:r>
      <w:r w:rsidRPr="0061798C">
        <w:rPr>
          <w:rFonts w:ascii="Arial" w:hAnsi="Arial" w:cs="Arial"/>
          <w:b/>
          <w:sz w:val="28"/>
          <w:szCs w:val="28"/>
        </w:rPr>
        <w:t xml:space="preserve">udit </w:t>
      </w:r>
      <w:r>
        <w:rPr>
          <w:rFonts w:ascii="Arial" w:hAnsi="Arial" w:cs="Arial"/>
          <w:b/>
          <w:sz w:val="28"/>
          <w:szCs w:val="28"/>
        </w:rPr>
        <w:t>S</w:t>
      </w:r>
      <w:r w:rsidRPr="0061798C">
        <w:rPr>
          <w:rFonts w:ascii="Arial" w:hAnsi="Arial" w:cs="Arial"/>
          <w:b/>
          <w:sz w:val="28"/>
          <w:szCs w:val="28"/>
        </w:rPr>
        <w:t>ervice</w:t>
      </w:r>
    </w:p>
    <w:p w:rsidR="0011279E" w:rsidP="0061798C">
      <w:pPr>
        <w:pStyle w:val="Bullet1"/>
        <w:keepLines w:val="0"/>
        <w:numPr>
          <w:ilvl w:val="0"/>
          <w:numId w:val="0"/>
        </w:numPr>
        <w:spacing w:before="120" w:after="120"/>
        <w:rPr>
          <w:b/>
        </w:rPr>
      </w:pPr>
      <w:r>
        <w:rPr>
          <w:b/>
        </w:rPr>
        <w:t>June</w:t>
      </w:r>
      <w:r>
        <w:rPr>
          <w:b/>
        </w:rPr>
        <w:t xml:space="preserve"> </w:t>
      </w:r>
      <w:r>
        <w:rPr>
          <w:b/>
        </w:rPr>
        <w:t>201</w:t>
      </w:r>
      <w:r>
        <w:rPr>
          <w:b/>
        </w:rPr>
        <w:t>9</w:t>
      </w:r>
    </w:p>
    <w:p w:rsidR="0011279E" w:rsidP="002C3503">
      <w:pPr>
        <w:pStyle w:val="Bullet1"/>
        <w:keepLines w:val="0"/>
        <w:numPr>
          <w:ilvl w:val="0"/>
          <w:numId w:val="0"/>
        </w:numPr>
        <w:pBdr>
          <w:top w:val="single" w:sz="4" w:space="1" w:color="auto"/>
          <w:between w:val="single" w:sz="4" w:space="1" w:color="auto"/>
        </w:pBdr>
        <w:spacing w:before="120" w:after="120"/>
        <w:rPr>
          <w:b/>
        </w:rPr>
      </w:pPr>
    </w:p>
    <w:p w:rsidR="0011279E" w:rsidRPr="0061798C" w:rsidP="0061798C">
      <w:pPr>
        <w:pStyle w:val="Bullet1"/>
        <w:keepLines w:val="0"/>
        <w:numPr>
          <w:ilvl w:val="0"/>
          <w:numId w:val="0"/>
        </w:numPr>
        <w:spacing w:before="120" w:after="120"/>
        <w:rPr>
          <w:b/>
        </w:rPr>
      </w:pPr>
      <w:r w:rsidRPr="0061798C">
        <w:rPr>
          <w:b/>
        </w:rPr>
        <w:t>Introduction</w:t>
      </w:r>
    </w:p>
    <w:p w:rsidR="0011279E" w:rsidP="00940448">
      <w:pPr>
        <w:pStyle w:val="Bullet1"/>
        <w:keepLines w:val="0"/>
        <w:numPr>
          <w:ilvl w:val="0"/>
          <w:numId w:val="4"/>
        </w:numPr>
        <w:spacing w:before="120" w:after="120"/>
        <w:ind w:left="567" w:hanging="567"/>
      </w:pPr>
      <w:r w:rsidRPr="009116A1">
        <w:t xml:space="preserve">This protocol sets out how </w:t>
      </w:r>
      <w:r>
        <w:t>Lancashire County Council's I</w:t>
      </w:r>
      <w:r w:rsidRPr="009116A1">
        <w:t xml:space="preserve">nternal </w:t>
      </w:r>
      <w:r>
        <w:t xml:space="preserve">Audit Service </w:t>
      </w:r>
      <w:r w:rsidRPr="009116A1">
        <w:t xml:space="preserve">and </w:t>
      </w:r>
      <w:r>
        <w:t>Grant Thornton UK LLP,</w:t>
      </w:r>
      <w:r w:rsidRPr="009116A1">
        <w:t xml:space="preserve"> </w:t>
      </w:r>
      <w:r>
        <w:t xml:space="preserve">as its </w:t>
      </w:r>
      <w:r w:rsidRPr="009116A1">
        <w:t xml:space="preserve">external </w:t>
      </w:r>
      <w:r w:rsidRPr="009116A1">
        <w:t>audit</w:t>
      </w:r>
      <w:r>
        <w:t>or,</w:t>
      </w:r>
      <w:r w:rsidRPr="009116A1">
        <w:t xml:space="preserve"> work together</w:t>
      </w:r>
      <w:r>
        <w:t>,</w:t>
      </w:r>
      <w:r w:rsidRPr="009116A1">
        <w:t xml:space="preserve"> and</w:t>
      </w:r>
      <w:r>
        <w:t xml:space="preserve"> it establishes a framework for co</w:t>
      </w:r>
      <w:r w:rsidRPr="009116A1">
        <w:t>ordination, cooperati</w:t>
      </w:r>
      <w:r>
        <w:t>on and exchange of information.</w:t>
      </w:r>
    </w:p>
    <w:p w:rsidR="0011279E" w:rsidRPr="00DE669A" w:rsidP="0061798C">
      <w:pPr>
        <w:pStyle w:val="Bullet1"/>
        <w:keepLines w:val="0"/>
        <w:numPr>
          <w:ilvl w:val="0"/>
          <w:numId w:val="0"/>
        </w:numPr>
        <w:spacing w:before="120" w:after="120"/>
        <w:rPr>
          <w:b/>
        </w:rPr>
      </w:pPr>
      <w:r w:rsidRPr="00DE669A">
        <w:rPr>
          <w:b/>
        </w:rPr>
        <w:t>External audit responsibilities</w:t>
      </w:r>
    </w:p>
    <w:p w:rsidR="0011279E" w:rsidP="00940448">
      <w:pPr>
        <w:pStyle w:val="Bullet1"/>
        <w:keepLines w:val="0"/>
        <w:numPr>
          <w:ilvl w:val="0"/>
          <w:numId w:val="4"/>
        </w:numPr>
        <w:spacing w:before="120" w:after="120"/>
        <w:ind w:left="567" w:hanging="567"/>
      </w:pPr>
      <w:r>
        <w:t>The external auditors are required to perform their audit</w:t>
      </w:r>
      <w:r>
        <w:t>s</w:t>
      </w:r>
      <w:r>
        <w:t xml:space="preserve"> in accordance with the Local </w:t>
      </w:r>
      <w:r w:rsidRPr="008A146B">
        <w:t>Audit and Accountabili</w:t>
      </w:r>
      <w:r w:rsidRPr="008A146B">
        <w:t>ty Act 2014 and the Code of Audit Practice issued by the National Audit Office on behalf of the Comptroller and Auditor General in April 2015. U</w:t>
      </w:r>
      <w:r w:rsidRPr="001161AD">
        <w:t xml:space="preserve">nder </w:t>
      </w:r>
      <w:r>
        <w:t>this code</w:t>
      </w:r>
      <w:r>
        <w:t>, and in respect of both the county council's financial statements and those of the Lancashire Cou</w:t>
      </w:r>
      <w:r>
        <w:t>nty Pension Fund,</w:t>
      </w:r>
      <w:r>
        <w:t xml:space="preserve"> the external auditor must satisfy themselves that:</w:t>
      </w:r>
    </w:p>
    <w:p w:rsidR="008A146B" w:rsidRPr="008A146B" w:rsidP="00940448">
      <w:pPr>
        <w:pStyle w:val="Bullet1"/>
        <w:keepLines w:val="0"/>
        <w:tabs>
          <w:tab w:val="clear" w:pos="794"/>
        </w:tabs>
        <w:spacing w:before="120" w:after="120"/>
        <w:ind w:left="1134" w:hanging="425"/>
      </w:pPr>
      <w:r w:rsidRPr="008A146B">
        <w:t>the accounts comply with the requirements of th</w:t>
      </w:r>
      <w:r>
        <w:t>e enactments that apply to them;</w:t>
      </w:r>
    </w:p>
    <w:p w:rsidR="008A146B" w:rsidRPr="008A146B" w:rsidP="00940448">
      <w:pPr>
        <w:pStyle w:val="Bullet1"/>
        <w:keepLines w:val="0"/>
        <w:tabs>
          <w:tab w:val="clear" w:pos="794"/>
        </w:tabs>
        <w:spacing w:before="120" w:after="120"/>
        <w:ind w:left="1134" w:hanging="425"/>
      </w:pPr>
      <w:r w:rsidRPr="008A146B">
        <w:t>proper practices have been observed in the preparation of the statement of accounts, and that the statemen</w:t>
      </w:r>
      <w:r>
        <w:t>t</w:t>
      </w:r>
      <w:r>
        <w:t xml:space="preserve"> presents a true and fair view;</w:t>
      </w:r>
      <w:r w:rsidRPr="008A146B">
        <w:t xml:space="preserve"> and</w:t>
      </w:r>
    </w:p>
    <w:p w:rsidR="008A146B" w:rsidRPr="008A146B" w:rsidP="00940448">
      <w:pPr>
        <w:pStyle w:val="Bullet1"/>
        <w:keepLines w:val="0"/>
        <w:tabs>
          <w:tab w:val="clear" w:pos="794"/>
        </w:tabs>
        <w:spacing w:before="120" w:after="120"/>
        <w:ind w:left="1134" w:hanging="425"/>
      </w:pPr>
      <w:r w:rsidRPr="008A146B">
        <w:t>the</w:t>
      </w:r>
      <w:r w:rsidRPr="008A146B">
        <w:t xml:space="preserve"> authority has made proper arrangements for securing economy, efficiency and effectiveness in its use of resources.</w:t>
      </w:r>
    </w:p>
    <w:p w:rsidR="0011279E" w:rsidP="00940448">
      <w:pPr>
        <w:pStyle w:val="Bullet1"/>
        <w:keepLines w:val="0"/>
        <w:numPr>
          <w:ilvl w:val="0"/>
          <w:numId w:val="4"/>
        </w:numPr>
        <w:spacing w:before="120" w:after="120"/>
        <w:ind w:left="567" w:hanging="567"/>
      </w:pPr>
      <w:r>
        <w:t>In addition,</w:t>
      </w:r>
      <w:r w:rsidRPr="009E1702">
        <w:t xml:space="preserve"> </w:t>
      </w:r>
      <w:r>
        <w:t xml:space="preserve">the external auditor may be required </w:t>
      </w:r>
      <w:r w:rsidRPr="009E1702">
        <w:t xml:space="preserve">to certify </w:t>
      </w:r>
      <w:r>
        <w:t>various</w:t>
      </w:r>
      <w:r w:rsidRPr="009E1702">
        <w:t xml:space="preserve"> claims and returns for grants or subsidies paid by the government departments and public bodies to </w:t>
      </w:r>
      <w:r>
        <w:t xml:space="preserve">the </w:t>
      </w:r>
      <w:r>
        <w:t>council</w:t>
      </w:r>
      <w:r>
        <w:t>.</w:t>
      </w:r>
    </w:p>
    <w:p w:rsidR="0011279E" w:rsidRPr="000D39CE" w:rsidP="00940448">
      <w:pPr>
        <w:pStyle w:val="Bullet1"/>
        <w:keepLines w:val="0"/>
        <w:numPr>
          <w:ilvl w:val="0"/>
          <w:numId w:val="4"/>
        </w:numPr>
        <w:spacing w:before="120" w:after="120"/>
        <w:ind w:left="567" w:hanging="567"/>
      </w:pPr>
      <w:r>
        <w:t>When completing its work on the financial statements the external auditor is required to comply with I</w:t>
      </w:r>
      <w:r w:rsidRPr="00AD44C7">
        <w:t xml:space="preserve">nternational Standards on Auditing </w:t>
      </w:r>
      <w:r>
        <w:t>(UK an</w:t>
      </w:r>
      <w:r>
        <w:t xml:space="preserve">d Ireland) </w:t>
      </w:r>
      <w:r w:rsidRPr="00AD44C7">
        <w:t>(ISA</w:t>
      </w:r>
      <w:r>
        <w:t>s</w:t>
      </w:r>
      <w:r w:rsidRPr="00AD44C7">
        <w:t>)</w:t>
      </w:r>
      <w:r>
        <w:t>. The external auditor is required by these ISAs</w:t>
      </w:r>
      <w:r w:rsidRPr="000D39CE">
        <w:t xml:space="preserve">, </w:t>
      </w:r>
      <w:r>
        <w:t xml:space="preserve">amongst other things, </w:t>
      </w:r>
      <w:r w:rsidRPr="000D39CE">
        <w:t>to:</w:t>
      </w:r>
    </w:p>
    <w:p w:rsidR="0011279E" w:rsidRPr="000D39CE" w:rsidP="00940448">
      <w:pPr>
        <w:pStyle w:val="Bullet1"/>
        <w:keepLines w:val="0"/>
        <w:tabs>
          <w:tab w:val="clear" w:pos="794"/>
        </w:tabs>
        <w:spacing w:before="120" w:after="120"/>
        <w:ind w:left="1134" w:hanging="425"/>
      </w:pPr>
      <w:r>
        <w:t>g</w:t>
      </w:r>
      <w:r w:rsidRPr="000D39CE">
        <w:t>ain an understanding of the information systems that are relevant to producing material figures in the accounts;</w:t>
      </w:r>
    </w:p>
    <w:p w:rsidR="0011279E" w:rsidRPr="000D39CE" w:rsidP="00940448">
      <w:pPr>
        <w:pStyle w:val="Bullet1"/>
        <w:keepLines w:val="0"/>
        <w:tabs>
          <w:tab w:val="clear" w:pos="794"/>
        </w:tabs>
        <w:spacing w:before="120" w:after="120"/>
        <w:ind w:left="1134" w:hanging="425"/>
      </w:pPr>
      <w:r>
        <w:t>g</w:t>
      </w:r>
      <w:r w:rsidRPr="000D39CE">
        <w:t xml:space="preserve">ain an understanding of the way transactions in </w:t>
      </w:r>
      <w:r w:rsidRPr="000D39CE">
        <w:t>these systems are initiated, recorded, processed and reported;</w:t>
      </w:r>
    </w:p>
    <w:p w:rsidR="0011279E" w:rsidP="00940448">
      <w:pPr>
        <w:pStyle w:val="Bullet1"/>
        <w:keepLines w:val="0"/>
        <w:tabs>
          <w:tab w:val="clear" w:pos="794"/>
        </w:tabs>
        <w:spacing w:before="120" w:after="120"/>
        <w:ind w:left="1134" w:hanging="425"/>
      </w:pPr>
      <w:r>
        <w:t>i</w:t>
      </w:r>
      <w:r>
        <w:t>dentify the</w:t>
      </w:r>
      <w:r w:rsidRPr="000D39CE">
        <w:t xml:space="preserve"> risks of material </w:t>
      </w:r>
      <w:r>
        <w:t>mis</w:t>
      </w:r>
      <w:r w:rsidRPr="000D39CE">
        <w:t xml:space="preserve">statement </w:t>
      </w:r>
      <w:r>
        <w:t>in the financial statements whether arising from fraud or error; and</w:t>
      </w:r>
    </w:p>
    <w:p w:rsidR="0011279E" w:rsidRPr="000D39CE" w:rsidP="00940448">
      <w:pPr>
        <w:pStyle w:val="Bullet1"/>
        <w:keepLines w:val="0"/>
        <w:tabs>
          <w:tab w:val="clear" w:pos="794"/>
        </w:tabs>
        <w:spacing w:before="120" w:after="120"/>
        <w:ind w:left="1134" w:hanging="425"/>
      </w:pPr>
      <w:r>
        <w:t>p</w:t>
      </w:r>
      <w:r>
        <w:t>lan</w:t>
      </w:r>
      <w:r w:rsidRPr="000D39CE">
        <w:t xml:space="preserve"> </w:t>
      </w:r>
      <w:r>
        <w:t xml:space="preserve">and </w:t>
      </w:r>
      <w:r w:rsidRPr="000D39CE">
        <w:t xml:space="preserve">carry out tests of controls </w:t>
      </w:r>
      <w:r>
        <w:t>and/ or detailed transactions to address th</w:t>
      </w:r>
      <w:r>
        <w:t>ose specific risks as well as the underlying inherent risks.</w:t>
      </w:r>
    </w:p>
    <w:p w:rsidR="0011279E" w:rsidRPr="002C3503" w:rsidP="002C3503">
      <w:pPr>
        <w:pStyle w:val="Bullet1"/>
        <w:keepLines w:val="0"/>
        <w:numPr>
          <w:ilvl w:val="0"/>
          <w:numId w:val="0"/>
        </w:numPr>
        <w:spacing w:before="120" w:after="120"/>
        <w:rPr>
          <w:b/>
        </w:rPr>
      </w:pPr>
      <w:r w:rsidRPr="002C3503">
        <w:rPr>
          <w:b/>
        </w:rPr>
        <w:t>Internal audit responsibilities</w:t>
      </w:r>
    </w:p>
    <w:p w:rsidR="00940448" w:rsidP="00940448">
      <w:pPr>
        <w:pStyle w:val="Bullet1"/>
        <w:keepLines w:val="0"/>
        <w:numPr>
          <w:ilvl w:val="0"/>
          <w:numId w:val="4"/>
        </w:numPr>
        <w:spacing w:before="120" w:after="120"/>
        <w:ind w:left="567" w:hanging="567"/>
      </w:pPr>
      <w:r>
        <w:t xml:space="preserve">The Chartered Institute of Public Finance and Accountancy (CIPFA) is the relevant standard setter for internal audit in local government and, with the other </w:t>
      </w:r>
      <w:r>
        <w:t>standard setters for the public sector</w:t>
      </w:r>
      <w:r w:rsidRPr="008D2605">
        <w:t xml:space="preserve"> </w:t>
      </w:r>
      <w:r>
        <w:t>in the United Kingdom, it has adopted a common set of Public Sector Internal Audit Standards (PSIAS)</w:t>
      </w:r>
      <w:r>
        <w:t>, the latest version of which is applicable</w:t>
      </w:r>
      <w:r>
        <w:t xml:space="preserve"> from 1 April 201</w:t>
      </w:r>
      <w:r>
        <w:t>7</w:t>
      </w:r>
      <w:r>
        <w:t>.</w:t>
      </w:r>
    </w:p>
    <w:p w:rsidR="008D2605" w:rsidP="00940448">
      <w:pPr>
        <w:pStyle w:val="Bullet1"/>
        <w:keepLines w:val="0"/>
        <w:numPr>
          <w:ilvl w:val="0"/>
          <w:numId w:val="4"/>
        </w:numPr>
        <w:spacing w:before="120" w:after="120"/>
        <w:ind w:left="567" w:hanging="567"/>
      </w:pPr>
      <w:r>
        <w:t>PSIAS encompass</w:t>
      </w:r>
      <w:r>
        <w:t>es</w:t>
      </w:r>
      <w:r>
        <w:t xml:space="preserve"> the mandatory elements of the </w:t>
      </w:r>
      <w:r>
        <w:t>Charte</w:t>
      </w:r>
      <w:r>
        <w:t>red</w:t>
      </w:r>
      <w:r>
        <w:t xml:space="preserve"> Institute of Internal Auditors' International Professional Practices Framework, comprising of</w:t>
      </w:r>
      <w:r>
        <w:t>:</w:t>
      </w:r>
    </w:p>
    <w:p w:rsidR="00C15A80" w:rsidP="00940448">
      <w:pPr>
        <w:pStyle w:val="Bullet1"/>
        <w:keepLines w:val="0"/>
        <w:tabs>
          <w:tab w:val="clear" w:pos="794"/>
        </w:tabs>
        <w:spacing w:before="120" w:after="120"/>
        <w:ind w:left="1134" w:hanging="425"/>
      </w:pPr>
      <w:r w:rsidRPr="00C15A80">
        <w:t>Core Principles for the Professiona</w:t>
      </w:r>
      <w:r>
        <w:t>l Practice of Internal Auditing;</w:t>
      </w:r>
    </w:p>
    <w:p w:rsidR="008D2605" w:rsidP="00940448">
      <w:pPr>
        <w:pStyle w:val="Bullet1"/>
        <w:keepLines w:val="0"/>
        <w:tabs>
          <w:tab w:val="clear" w:pos="794"/>
        </w:tabs>
        <w:spacing w:before="120" w:after="120"/>
        <w:ind w:left="1134" w:hanging="425"/>
      </w:pPr>
      <w:r>
        <w:t>Definition of Internal Auditing</w:t>
      </w:r>
      <w:r>
        <w:t>;</w:t>
      </w:r>
    </w:p>
    <w:p w:rsidR="008D2605" w:rsidP="00940448">
      <w:pPr>
        <w:pStyle w:val="Bullet1"/>
        <w:keepLines w:val="0"/>
        <w:tabs>
          <w:tab w:val="clear" w:pos="794"/>
        </w:tabs>
        <w:spacing w:before="120" w:after="120"/>
        <w:ind w:left="1134" w:hanging="425"/>
      </w:pPr>
      <w:r>
        <w:t>Code of Ethics</w:t>
      </w:r>
      <w:r>
        <w:t>;</w:t>
      </w:r>
    </w:p>
    <w:p w:rsidR="008D2605" w:rsidP="00940448">
      <w:pPr>
        <w:pStyle w:val="Bullet1"/>
        <w:keepLines w:val="0"/>
        <w:tabs>
          <w:tab w:val="clear" w:pos="794"/>
        </w:tabs>
        <w:spacing w:before="120" w:after="120"/>
        <w:ind w:left="1134" w:hanging="425"/>
      </w:pPr>
      <w:r>
        <w:t xml:space="preserve">International Standards for the </w:t>
      </w:r>
      <w:r>
        <w:t>Professional Practice of Internal Auditing (including interpretations and glossary).</w:t>
      </w:r>
    </w:p>
    <w:p w:rsidR="00767B39" w:rsidP="00940448">
      <w:pPr>
        <w:pStyle w:val="Bullet1"/>
        <w:keepLines w:val="0"/>
        <w:numPr>
          <w:ilvl w:val="0"/>
          <w:numId w:val="4"/>
        </w:numPr>
        <w:spacing w:before="120" w:after="120"/>
        <w:ind w:left="567" w:hanging="567"/>
      </w:pPr>
      <w:r>
        <w:t xml:space="preserve">Internal Auditing is defined as: </w:t>
      </w:r>
    </w:p>
    <w:p w:rsidR="00767B39" w:rsidP="00C15A80">
      <w:pPr>
        <w:pStyle w:val="Bullet1"/>
        <w:keepLines w:val="0"/>
        <w:numPr>
          <w:ilvl w:val="0"/>
          <w:numId w:val="0"/>
        </w:numPr>
        <w:spacing w:before="120" w:after="120"/>
        <w:ind w:left="1134"/>
      </w:pPr>
      <w:r>
        <w:t>"</w:t>
      </w:r>
      <w:r>
        <w:t>a</w:t>
      </w:r>
      <w:r w:rsidRPr="00DE669A">
        <w:t>n</w:t>
      </w:r>
      <w:r w:rsidRPr="00DE669A">
        <w:t xml:space="preserve"> </w:t>
      </w:r>
      <w:r>
        <w:t xml:space="preserve">independent, </w:t>
      </w:r>
      <w:r w:rsidRPr="00DE669A">
        <w:t xml:space="preserve">objective assurance </w:t>
      </w:r>
      <w:r>
        <w:t>and consulting activity designed to add value and improve and organisation's operations. It helps an</w:t>
      </w:r>
      <w:r>
        <w:t xml:space="preserve"> organisation accomplish its objectives by bringing a systematic, disciplined approach to evaluate and improve the effectiveness of risk management, control and governance processes.</w:t>
      </w:r>
      <w:r>
        <w:t>"</w:t>
      </w:r>
    </w:p>
    <w:p w:rsidR="009643CE" w:rsidP="00570039">
      <w:pPr>
        <w:pStyle w:val="Bullet1"/>
        <w:keepLines w:val="0"/>
        <w:numPr>
          <w:ilvl w:val="0"/>
          <w:numId w:val="4"/>
        </w:numPr>
        <w:spacing w:before="120" w:after="120"/>
        <w:ind w:left="567" w:hanging="567"/>
      </w:pPr>
      <w:r>
        <w:t xml:space="preserve">The Internal Audit Service is required to provide an annual opinion on </w:t>
      </w:r>
      <w:r>
        <w:t>t</w:t>
      </w:r>
      <w:r>
        <w:t xml:space="preserve">he </w:t>
      </w:r>
      <w:r>
        <w:t>council's</w:t>
      </w:r>
      <w:r>
        <w:t xml:space="preserve"> </w:t>
      </w:r>
      <w:r>
        <w:t>framework of risk management, control and governance</w:t>
      </w:r>
      <w:r>
        <w:t>,</w:t>
      </w:r>
      <w:r>
        <w:t xml:space="preserve"> and must </w:t>
      </w:r>
      <w:r>
        <w:t>formulate an annual risk-based plan of work</w:t>
      </w:r>
      <w:r>
        <w:t xml:space="preserve"> to support that</w:t>
      </w:r>
      <w:r>
        <w:t xml:space="preserve">. </w:t>
      </w:r>
      <w:r>
        <w:t xml:space="preserve">This </w:t>
      </w:r>
      <w:r>
        <w:t xml:space="preserve">opinion informs the council's </w:t>
      </w:r>
      <w:r>
        <w:t xml:space="preserve">and the pension fund's </w:t>
      </w:r>
      <w:r>
        <w:t>annual governance statement</w:t>
      </w:r>
      <w:r>
        <w:t>s</w:t>
      </w:r>
      <w:r>
        <w:t xml:space="preserve"> which </w:t>
      </w:r>
      <w:r>
        <w:t xml:space="preserve">are </w:t>
      </w:r>
      <w:r>
        <w:t xml:space="preserve">published </w:t>
      </w:r>
      <w:r>
        <w:t xml:space="preserve">in </w:t>
      </w:r>
      <w:r>
        <w:t xml:space="preserve">their </w:t>
      </w:r>
      <w:r>
        <w:t>fin</w:t>
      </w:r>
      <w:r>
        <w:t>ancial statements.</w:t>
      </w:r>
      <w:r>
        <w:t xml:space="preserve"> </w:t>
      </w:r>
      <w:r>
        <w:t xml:space="preserve">Further, internal audit work </w:t>
      </w:r>
      <w:r>
        <w:t>provid</w:t>
      </w:r>
      <w:r>
        <w:t>es</w:t>
      </w:r>
      <w:r>
        <w:t xml:space="preserve"> assurance over, amongst other internal controls, the systems that produce material figures in the council's</w:t>
      </w:r>
      <w:r>
        <w:t xml:space="preserve"> and pension fund's</w:t>
      </w:r>
      <w:r>
        <w:t xml:space="preserve"> financial statements</w:t>
      </w:r>
      <w:r>
        <w:t>.</w:t>
      </w:r>
    </w:p>
    <w:p w:rsidR="00E74BB7" w:rsidP="00570039">
      <w:pPr>
        <w:pStyle w:val="Bullet1"/>
        <w:keepLines w:val="0"/>
        <w:numPr>
          <w:ilvl w:val="0"/>
          <w:numId w:val="4"/>
        </w:numPr>
        <w:spacing w:before="120" w:after="120"/>
        <w:ind w:left="567" w:hanging="567"/>
      </w:pPr>
      <w:r>
        <w:t>T</w:t>
      </w:r>
      <w:r>
        <w:t>hese systems control areas of significant</w:t>
      </w:r>
      <w:r>
        <w:t xml:space="preserve"> financi</w:t>
      </w:r>
      <w:r>
        <w:t xml:space="preserve">al risk and </w:t>
      </w:r>
      <w:r>
        <w:t>i</w:t>
      </w:r>
      <w:r>
        <w:t xml:space="preserve">nternal </w:t>
      </w:r>
      <w:r>
        <w:t>a</w:t>
      </w:r>
      <w:r>
        <w:t xml:space="preserve">udit work and </w:t>
      </w:r>
      <w:r>
        <w:t xml:space="preserve">therefore </w:t>
      </w:r>
      <w:r>
        <w:t>inform</w:t>
      </w:r>
      <w:r>
        <w:t>s</w:t>
      </w:r>
      <w:r>
        <w:t xml:space="preserve"> the </w:t>
      </w:r>
      <w:r>
        <w:t xml:space="preserve">work of the </w:t>
      </w:r>
      <w:r>
        <w:t>external auditor.</w:t>
      </w:r>
      <w:r>
        <w:t xml:space="preserve"> Work undertaken and reported by Local Pensions Partnership Limited</w:t>
      </w:r>
      <w:r>
        <w:t>'s</w:t>
      </w:r>
      <w:r>
        <w:t xml:space="preserve"> own internal auditor on controls operated undertaken by the company is reported to the council by the I</w:t>
      </w:r>
      <w:r>
        <w:t xml:space="preserve">nternal Audit Service. </w:t>
      </w:r>
    </w:p>
    <w:p w:rsidR="0011279E" w:rsidP="00940448">
      <w:pPr>
        <w:pStyle w:val="Bullet1"/>
        <w:keepLines w:val="0"/>
        <w:numPr>
          <w:ilvl w:val="0"/>
          <w:numId w:val="4"/>
        </w:numPr>
        <w:spacing w:before="120" w:after="120"/>
        <w:ind w:left="567" w:hanging="567"/>
      </w:pPr>
      <w:r>
        <w:t>There is therefore</w:t>
      </w:r>
      <w:r w:rsidRPr="000F51D3">
        <w:t xml:space="preserve"> </w:t>
      </w:r>
      <w:r>
        <w:t xml:space="preserve">a natural alignment of internal </w:t>
      </w:r>
      <w:r>
        <w:t>and</w:t>
      </w:r>
      <w:r>
        <w:t xml:space="preserve"> external audit</w:t>
      </w:r>
      <w:r>
        <w:t xml:space="preserve"> work</w:t>
      </w:r>
      <w:r>
        <w:t>.</w:t>
      </w:r>
    </w:p>
    <w:p w:rsidR="0011279E" w:rsidRPr="00DE669A" w:rsidP="0061798C">
      <w:pPr>
        <w:pStyle w:val="Bullet1"/>
        <w:keepLines w:val="0"/>
        <w:numPr>
          <w:ilvl w:val="0"/>
          <w:numId w:val="0"/>
        </w:numPr>
        <w:spacing w:before="120" w:after="120"/>
        <w:rPr>
          <w:b/>
        </w:rPr>
      </w:pPr>
      <w:r w:rsidRPr="00DE669A">
        <w:rPr>
          <w:b/>
        </w:rPr>
        <w:t>The external and internal audit relationship</w:t>
      </w:r>
    </w:p>
    <w:p w:rsidR="0011279E" w:rsidP="00940448">
      <w:pPr>
        <w:pStyle w:val="Bullet1"/>
        <w:keepLines w:val="0"/>
        <w:numPr>
          <w:ilvl w:val="0"/>
          <w:numId w:val="4"/>
        </w:numPr>
        <w:spacing w:before="120" w:after="120"/>
        <w:ind w:left="567" w:hanging="567"/>
      </w:pPr>
      <w:r>
        <w:t xml:space="preserve">In the interests of overall efficiency and effectiveness, Grant Thornton </w:t>
      </w:r>
      <w:r w:rsidRPr="00103C35">
        <w:t>seek</w:t>
      </w:r>
      <w:r>
        <w:t>s</w:t>
      </w:r>
      <w:r w:rsidRPr="00103C35">
        <w:t xml:space="preserve"> to maximi</w:t>
      </w:r>
      <w:r>
        <w:t>s</w:t>
      </w:r>
      <w:r w:rsidRPr="00103C35">
        <w:t xml:space="preserve">e </w:t>
      </w:r>
      <w:r>
        <w:t xml:space="preserve">its </w:t>
      </w:r>
      <w:r w:rsidRPr="00103C35">
        <w:t xml:space="preserve">reliance on the work of </w:t>
      </w:r>
      <w:r>
        <w:t xml:space="preserve">the Internal Audit Service, most commonly </w:t>
      </w:r>
      <w:r w:rsidRPr="00103C35">
        <w:t xml:space="preserve">in relation to the </w:t>
      </w:r>
      <w:r>
        <w:t>c</w:t>
      </w:r>
      <w:r w:rsidRPr="00103C35">
        <w:t>ouncil’s financial systems</w:t>
      </w:r>
      <w:r>
        <w:t xml:space="preserve">, but also in other areas where this is possible. The Internal Audit Service seeks to provide whatever </w:t>
      </w:r>
      <w:r>
        <w:t xml:space="preserve">information and </w:t>
      </w:r>
      <w:r>
        <w:t xml:space="preserve">support is necessary and </w:t>
      </w:r>
      <w:r>
        <w:t>appropriate to Grant Thornton as the council's external auditor</w:t>
      </w:r>
      <w:r w:rsidRPr="00103C35">
        <w:t xml:space="preserve">. </w:t>
      </w:r>
    </w:p>
    <w:p w:rsidR="0011279E" w:rsidRPr="00103C35" w:rsidP="00940448">
      <w:pPr>
        <w:pStyle w:val="Bullet1"/>
        <w:keepLines w:val="0"/>
        <w:numPr>
          <w:ilvl w:val="0"/>
          <w:numId w:val="4"/>
        </w:numPr>
        <w:spacing w:before="120" w:after="120"/>
        <w:ind w:left="567" w:hanging="567"/>
      </w:pPr>
      <w:r>
        <w:t>ISA 610 refers specifically to 'considering the work of internal audit' and</w:t>
      </w:r>
      <w:r w:rsidRPr="00103C35">
        <w:t xml:space="preserve"> requires external auditors to:</w:t>
      </w:r>
    </w:p>
    <w:p w:rsidR="0011279E" w:rsidRPr="00103C35" w:rsidP="00940448">
      <w:pPr>
        <w:pStyle w:val="Bullet1"/>
        <w:keepLines w:val="0"/>
        <w:tabs>
          <w:tab w:val="clear" w:pos="794"/>
        </w:tabs>
        <w:spacing w:before="120" w:after="120"/>
        <w:ind w:left="1134" w:hanging="425"/>
      </w:pPr>
      <w:r>
        <w:t>r</w:t>
      </w:r>
      <w:r w:rsidRPr="00103C35">
        <w:t xml:space="preserve">eview </w:t>
      </w:r>
      <w:r>
        <w:t xml:space="preserve">the Internal Audit Service </w:t>
      </w:r>
      <w:r w:rsidRPr="00103C35">
        <w:t>to confirm that it meets, as a minimum, the requi</w:t>
      </w:r>
      <w:r w:rsidRPr="00103C35">
        <w:t xml:space="preserve">rements of the </w:t>
      </w:r>
      <w:r>
        <w:t xml:space="preserve">PSIAS, to </w:t>
      </w:r>
      <w:r w:rsidRPr="00103C35">
        <w:t xml:space="preserve">provide assurance that </w:t>
      </w:r>
      <w:r>
        <w:t xml:space="preserve">its </w:t>
      </w:r>
      <w:r w:rsidRPr="00103C35">
        <w:t>work can be relied on to inform external audit conclusions;</w:t>
      </w:r>
    </w:p>
    <w:p w:rsidR="0011279E" w:rsidP="00940448">
      <w:pPr>
        <w:pStyle w:val="Bullet1"/>
        <w:keepLines w:val="0"/>
        <w:tabs>
          <w:tab w:val="clear" w:pos="794"/>
        </w:tabs>
        <w:spacing w:before="120" w:after="120"/>
        <w:ind w:left="1134" w:hanging="425"/>
      </w:pPr>
      <w:r>
        <w:t>r</w:t>
      </w:r>
      <w:r w:rsidRPr="00103C35">
        <w:t>eview whether</w:t>
      </w:r>
      <w:r>
        <w:t xml:space="preserve"> the Internal Audit Service </w:t>
      </w:r>
      <w:r w:rsidRPr="00103C35">
        <w:t xml:space="preserve">is effective; </w:t>
      </w:r>
    </w:p>
    <w:p w:rsidR="0011279E" w:rsidP="00940448">
      <w:pPr>
        <w:pStyle w:val="Bullet1"/>
        <w:keepLines w:val="0"/>
        <w:tabs>
          <w:tab w:val="clear" w:pos="794"/>
        </w:tabs>
        <w:spacing w:before="120" w:after="120"/>
        <w:ind w:left="1134" w:hanging="425"/>
      </w:pPr>
      <w:r>
        <w:t>r</w:t>
      </w:r>
      <w:r w:rsidRPr="00A00814">
        <w:t xml:space="preserve">eview (and seek to place reliance on) specific pieces of </w:t>
      </w:r>
      <w:r>
        <w:t xml:space="preserve">internal audit </w:t>
      </w:r>
      <w:r w:rsidRPr="00A00814">
        <w:t xml:space="preserve">work, where that work covers areas relevant to </w:t>
      </w:r>
      <w:r>
        <w:t>their external audit objectives; and</w:t>
      </w:r>
    </w:p>
    <w:p w:rsidR="0011279E" w:rsidRPr="00A00814" w:rsidP="00940448">
      <w:pPr>
        <w:pStyle w:val="Bullet1"/>
        <w:keepLines w:val="0"/>
        <w:tabs>
          <w:tab w:val="clear" w:pos="794"/>
        </w:tabs>
        <w:spacing w:before="120" w:after="120"/>
        <w:ind w:left="1134" w:hanging="425"/>
      </w:pPr>
      <w:r>
        <w:t>e</w:t>
      </w:r>
      <w:r>
        <w:t>valuate</w:t>
      </w:r>
      <w:r>
        <w:t xml:space="preserve"> the work of the Inte</w:t>
      </w:r>
      <w:bookmarkStart w:id="0" w:name="_GoBack"/>
      <w:bookmarkEnd w:id="0"/>
      <w:r>
        <w:t>rnal Audit Service, w</w:t>
      </w:r>
      <w:r w:rsidRPr="00103C35">
        <w:t xml:space="preserve">here </w:t>
      </w:r>
      <w:r>
        <w:t xml:space="preserve">the </w:t>
      </w:r>
      <w:r w:rsidRPr="00103C35">
        <w:t>external auditor intend</w:t>
      </w:r>
      <w:r>
        <w:t>s</w:t>
      </w:r>
      <w:r w:rsidRPr="00103C35">
        <w:t xml:space="preserve"> to use </w:t>
      </w:r>
      <w:r>
        <w:t xml:space="preserve">internal audit </w:t>
      </w:r>
      <w:r w:rsidRPr="00103C35">
        <w:t xml:space="preserve">work to inform </w:t>
      </w:r>
      <w:r>
        <w:t xml:space="preserve">their </w:t>
      </w:r>
      <w:r w:rsidRPr="00103C35">
        <w:t>conclusions</w:t>
      </w:r>
      <w:r>
        <w:t xml:space="preserve">. This </w:t>
      </w:r>
      <w:r w:rsidRPr="00103C35">
        <w:t>may involve re-performance</w:t>
      </w:r>
      <w:r>
        <w:t xml:space="preserve"> </w:t>
      </w:r>
      <w:r>
        <w:t>of a sample of work</w:t>
      </w:r>
      <w:r w:rsidRPr="00103C35">
        <w:t xml:space="preserve">, testing similar items or observing </w:t>
      </w:r>
      <w:r>
        <w:t xml:space="preserve">internal audit </w:t>
      </w:r>
      <w:r w:rsidRPr="00103C35">
        <w:t>work</w:t>
      </w:r>
      <w:r>
        <w:t xml:space="preserve"> in progress</w:t>
      </w:r>
      <w:r w:rsidRPr="00103C35">
        <w:t>.</w:t>
      </w:r>
    </w:p>
    <w:p w:rsidR="0011279E" w:rsidP="00940448">
      <w:pPr>
        <w:pStyle w:val="Bullet1"/>
        <w:keepLines w:val="0"/>
        <w:numPr>
          <w:ilvl w:val="0"/>
          <w:numId w:val="4"/>
        </w:numPr>
        <w:spacing w:before="120" w:after="120"/>
        <w:ind w:left="567" w:hanging="567"/>
      </w:pPr>
      <w:r>
        <w:t xml:space="preserve">If </w:t>
      </w:r>
      <w:r>
        <w:t>Grant Thornton undertakes a formal review of the Internal Audit Service, it will discuss its findings with the Head of Internal Audit and provide a report to the co</w:t>
      </w:r>
      <w:r>
        <w:t>uncil.</w:t>
      </w:r>
    </w:p>
    <w:p w:rsidR="0011279E" w:rsidP="00940448">
      <w:pPr>
        <w:pStyle w:val="Bullet1"/>
        <w:keepLines w:val="0"/>
        <w:numPr>
          <w:ilvl w:val="0"/>
          <w:numId w:val="4"/>
        </w:numPr>
        <w:spacing w:before="120" w:after="120"/>
        <w:ind w:left="567" w:hanging="567"/>
      </w:pPr>
      <w:r>
        <w:t>The Internal Audit Service will take account of the work undertaken by Grant Thornton in assessing the framework of assurance available to the council.</w:t>
      </w:r>
    </w:p>
    <w:p w:rsidR="0011279E" w:rsidP="00940448">
      <w:pPr>
        <w:pStyle w:val="Bullet1"/>
        <w:keepLines w:val="0"/>
        <w:numPr>
          <w:ilvl w:val="0"/>
          <w:numId w:val="4"/>
        </w:numPr>
        <w:spacing w:before="120" w:after="120"/>
        <w:ind w:left="567" w:hanging="567"/>
      </w:pPr>
      <w:r>
        <w:t>Both sets of auditors share with each other their risk assessments of the council and their relat</w:t>
      </w:r>
      <w:r>
        <w:t xml:space="preserve">ed work programmes. This informs both risk assessments and helps to identify opportunities for reliance on work planned to be carried out by the Internal Audit Service. </w:t>
      </w:r>
    </w:p>
    <w:p w:rsidR="0011279E" w:rsidP="00940448">
      <w:pPr>
        <w:pStyle w:val="Bullet1"/>
        <w:keepLines w:val="0"/>
        <w:numPr>
          <w:ilvl w:val="0"/>
          <w:numId w:val="4"/>
        </w:numPr>
        <w:spacing w:before="120" w:after="120"/>
        <w:ind w:left="567" w:hanging="567"/>
      </w:pPr>
      <w:r>
        <w:t>Regular meetings are programmed to facilitate this and both sets of auditors share wor</w:t>
      </w:r>
      <w:r>
        <w:t>king papers and reports as needed.</w:t>
      </w:r>
    </w:p>
    <w:p w:rsidR="0011279E" w:rsidP="00940448">
      <w:pPr>
        <w:pStyle w:val="Bullet1"/>
        <w:keepLines w:val="0"/>
        <w:numPr>
          <w:ilvl w:val="0"/>
          <w:numId w:val="4"/>
        </w:numPr>
        <w:spacing w:before="120" w:after="120"/>
        <w:ind w:left="567" w:hanging="567"/>
      </w:pPr>
      <w:r>
        <w:t>In undertaking work that Grant Thornton may wish to use to support its opinion on the council's financial statements, the Internal Audit Service will provide access to the working papers and supporting documentation neces</w:t>
      </w:r>
      <w:r>
        <w:t>sary for the external auditor to assess this work in detail</w:t>
      </w:r>
      <w:r>
        <w:t xml:space="preserve"> if requested</w:t>
      </w:r>
      <w:r>
        <w:t>.</w:t>
      </w:r>
    </w:p>
    <w:p w:rsidR="00003DB9" w:rsidP="00940448">
      <w:pPr>
        <w:pStyle w:val="Bullet1"/>
        <w:keepLines w:val="0"/>
        <w:numPr>
          <w:ilvl w:val="0"/>
          <w:numId w:val="4"/>
        </w:numPr>
        <w:spacing w:before="120" w:after="120"/>
        <w:ind w:left="567" w:hanging="567"/>
      </w:pPr>
      <w:r>
        <w:t xml:space="preserve">Both internal and external audit will ensure that whenever documentation is obtained from the other </w:t>
      </w:r>
      <w:r>
        <w:t xml:space="preserve">auditor it </w:t>
      </w:r>
      <w:r>
        <w:t xml:space="preserve">will be returned promptly and, if used in any published document, will be </w:t>
      </w:r>
      <w:r>
        <w:t>appropriately cited.</w:t>
      </w:r>
    </w:p>
    <w:p w:rsidR="00003DB9" w:rsidP="00003DB9">
      <w:pPr>
        <w:pStyle w:val="Bullet1"/>
        <w:keepLines w:val="0"/>
        <w:numPr>
          <w:ilvl w:val="0"/>
          <w:numId w:val="0"/>
        </w:numPr>
        <w:spacing w:before="120" w:after="120"/>
      </w:pPr>
    </w:p>
    <w:sectPr w:rsidSect="0061798C">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213403"/>
    <w:multiLevelType w:val="hybridMultilevel"/>
    <w:tmpl w:val="6C4C1F44"/>
    <w:lvl w:ilvl="0">
      <w:start w:val="1"/>
      <w:numFmt w:val="decimal"/>
      <w:pStyle w:val="Bodytextnumbered"/>
      <w:lvlText w:val="%1"/>
      <w:lvlJc w:val="right"/>
      <w:pPr>
        <w:tabs>
          <w:tab w:val="num" w:pos="397"/>
        </w:tabs>
        <w:ind w:left="397" w:hanging="227"/>
      </w:pPr>
      <w:rPr>
        <w:rFonts w:cs="Times New Roman" w:hint="default"/>
        <w:b/>
        <w:i w:val="0"/>
        <w:color w:val="083863"/>
        <w:sz w:val="20"/>
        <w:szCs w:val="2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b/>
        <w:i w:val="0"/>
        <w:color w:val="083863"/>
        <w:sz w:val="20"/>
        <w:szCs w:val="20"/>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D7B398B"/>
    <w:multiLevelType w:val="hybridMultilevel"/>
    <w:tmpl w:val="AD2298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A3706D6"/>
    <w:multiLevelType w:val="hybridMultilevel"/>
    <w:tmpl w:val="05DC141E"/>
    <w:lvl w:ilvl="0">
      <w:start w:val="1"/>
      <w:numFmt w:val="decimal"/>
      <w:lvlText w:val="%1"/>
      <w:lvlJc w:val="left"/>
      <w:pPr>
        <w:ind w:left="720" w:hanging="360"/>
      </w:pPr>
      <w:rPr>
        <w:rFonts w:ascii="Arial" w:hAnsi="Arial" w:hint="default"/>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4A24F3B"/>
    <w:multiLevelType w:val="hybridMultilevel"/>
    <w:tmpl w:val="CBC28D86"/>
    <w:lvl w:ilvl="0">
      <w:start w:val="1"/>
      <w:numFmt w:val="bullet"/>
      <w:pStyle w:val="Bullet1"/>
      <w:lvlText w:val=""/>
      <w:lvlJc w:val="left"/>
      <w:pPr>
        <w:tabs>
          <w:tab w:val="num" w:pos="794"/>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0542829"/>
    <w:multiLevelType w:val="hybridMultilevel"/>
    <w:tmpl w:val="B36A6C6C"/>
    <w:lvl w:ilvl="0">
      <w:start w:val="1"/>
      <w:numFmt w:val="decimal"/>
      <w:pStyle w:val="ActionPlan"/>
      <w:lvlText w:val="R%1"/>
      <w:lvlJc w:val="left"/>
      <w:pPr>
        <w:tabs>
          <w:tab w:val="num" w:pos="397"/>
        </w:tabs>
        <w:ind w:left="397" w:hanging="397"/>
      </w:pPr>
      <w:rPr>
        <w:rFonts w:ascii="Arial" w:hAnsi="Arial" w:cs="Times New Roman" w:hint="default"/>
        <w:b w:val="0"/>
        <w:i w:val="0"/>
        <w:sz w:val="24"/>
        <w:szCs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startOverride w:val="1"/>
    </w:lvlOverride>
  </w:num>
  <w:num w:numId="3">
    <w:abstractNumId w:val="4"/>
  </w:num>
  <w:num w:numId="4">
    <w:abstractNumId w:val="2"/>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070"/>
    <w:pPr>
      <w:spacing w:after="200" w:line="276" w:lineRule="auto"/>
    </w:pPr>
    <w:rPr>
      <w:lang w:eastAsia="en-US"/>
    </w:rPr>
  </w:style>
  <w:style w:type="paragraph" w:styleId="Heading3">
    <w:name w:val="heading 3"/>
    <w:basedOn w:val="Normal"/>
    <w:link w:val="Heading3Char"/>
    <w:uiPriority w:val="99"/>
    <w:qFormat/>
    <w:rsid w:val="00AD44C7"/>
    <w:pPr>
      <w:spacing w:before="180" w:after="150" w:line="288" w:lineRule="atLeast"/>
      <w:outlineLvl w:val="2"/>
    </w:pPr>
    <w:rPr>
      <w:rFonts w:ascii="Helvetica" w:eastAsia="Times New Roman" w:hAnsi="Helvetica" w:cs="Helvetica"/>
      <w:b/>
      <w:bCs/>
      <w:color w:val="666666"/>
      <w:sz w:val="28"/>
      <w:szCs w:val="28"/>
      <w:lang w:eastAsia="en-GB"/>
    </w:rPr>
  </w:style>
  <w:style w:type="paragraph" w:styleId="Heading4">
    <w:name w:val="heading 4"/>
    <w:basedOn w:val="Normal"/>
    <w:link w:val="Heading4Char"/>
    <w:uiPriority w:val="99"/>
    <w:qFormat/>
    <w:rsid w:val="00AD44C7"/>
    <w:pPr>
      <w:spacing w:before="150" w:after="150" w:line="300" w:lineRule="atLeast"/>
      <w:outlineLvl w:val="3"/>
    </w:pPr>
    <w:rPr>
      <w:rFonts w:ascii="Helvetica" w:eastAsia="Times New Roman" w:hAnsi="Helvetica" w:cs="Helvetica"/>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D44C7"/>
    <w:rPr>
      <w:rFonts w:ascii="Helvetica" w:hAnsi="Helvetica" w:cs="Helvetica"/>
      <w:b/>
      <w:bCs/>
      <w:color w:val="666666"/>
      <w:sz w:val="28"/>
      <w:szCs w:val="28"/>
      <w:lang w:eastAsia="en-GB"/>
    </w:rPr>
  </w:style>
  <w:style w:type="character" w:customStyle="1" w:styleId="Heading4Char">
    <w:name w:val="Heading 4 Char"/>
    <w:basedOn w:val="DefaultParagraphFont"/>
    <w:link w:val="Heading4"/>
    <w:uiPriority w:val="99"/>
    <w:locked/>
    <w:rsid w:val="00AD44C7"/>
    <w:rPr>
      <w:rFonts w:ascii="Helvetica" w:hAnsi="Helvetica" w:cs="Helvetica"/>
      <w:b/>
      <w:bCs/>
      <w:sz w:val="20"/>
      <w:szCs w:val="20"/>
      <w:lang w:eastAsia="en-GB"/>
    </w:rPr>
  </w:style>
  <w:style w:type="paragraph" w:customStyle="1" w:styleId="BodyText1">
    <w:name w:val="Body Text1"/>
    <w:basedOn w:val="Normal"/>
    <w:link w:val="BodytextChar"/>
    <w:uiPriority w:val="99"/>
    <w:rsid w:val="006F6CE5"/>
    <w:pPr>
      <w:keepLines/>
      <w:spacing w:before="140" w:after="140" w:line="240" w:lineRule="auto"/>
      <w:ind w:left="397"/>
    </w:pPr>
    <w:rPr>
      <w:rFonts w:ascii="Arial" w:eastAsia="Times New Roman" w:hAnsi="Arial"/>
      <w:sz w:val="24"/>
      <w:szCs w:val="24"/>
      <w:lang w:eastAsia="en-GB"/>
    </w:rPr>
  </w:style>
  <w:style w:type="character" w:customStyle="1" w:styleId="BodytextChar">
    <w:name w:val="Body text Char"/>
    <w:basedOn w:val="DefaultParagraphFont"/>
    <w:link w:val="BodyText1"/>
    <w:uiPriority w:val="99"/>
    <w:locked/>
    <w:rsid w:val="006F6CE5"/>
    <w:rPr>
      <w:rFonts w:ascii="Arial" w:hAnsi="Arial" w:cs="Times New Roman"/>
      <w:sz w:val="24"/>
      <w:szCs w:val="24"/>
      <w:lang w:eastAsia="en-GB"/>
    </w:rPr>
  </w:style>
  <w:style w:type="paragraph" w:customStyle="1" w:styleId="Bullet1">
    <w:name w:val="Bullet 1"/>
    <w:basedOn w:val="Normal"/>
    <w:link w:val="Bullet1Char"/>
    <w:uiPriority w:val="99"/>
    <w:rsid w:val="003A6C9B"/>
    <w:pPr>
      <w:keepLines/>
      <w:numPr>
        <w:numId w:val="1"/>
      </w:numPr>
      <w:spacing w:before="100" w:after="0" w:line="240" w:lineRule="auto"/>
    </w:pPr>
    <w:rPr>
      <w:rFonts w:ascii="Arial" w:eastAsia="Times New Roman" w:hAnsi="Arial"/>
      <w:sz w:val="24"/>
      <w:szCs w:val="24"/>
      <w:lang w:eastAsia="en-GB"/>
    </w:rPr>
  </w:style>
  <w:style w:type="character" w:customStyle="1" w:styleId="Bullet1Char">
    <w:name w:val="Bullet 1 Char"/>
    <w:basedOn w:val="DefaultParagraphFont"/>
    <w:link w:val="Bullet1"/>
    <w:uiPriority w:val="99"/>
    <w:locked/>
    <w:rsid w:val="003A6C9B"/>
    <w:rPr>
      <w:rFonts w:ascii="Arial" w:eastAsia="Times New Roman" w:hAnsi="Arial"/>
      <w:sz w:val="24"/>
      <w:szCs w:val="24"/>
    </w:rPr>
  </w:style>
  <w:style w:type="paragraph" w:customStyle="1" w:styleId="Bodytextnumbered">
    <w:name w:val="Body text (numbered)"/>
    <w:basedOn w:val="BodyText1"/>
    <w:uiPriority w:val="99"/>
    <w:rsid w:val="003A6C9B"/>
    <w:pPr>
      <w:numPr>
        <w:numId w:val="2"/>
      </w:numPr>
      <w:ind w:hanging="170"/>
    </w:pPr>
  </w:style>
  <w:style w:type="character" w:styleId="Hyperlink">
    <w:name w:val="Hyperlink"/>
    <w:basedOn w:val="DefaultParagraphFont"/>
    <w:uiPriority w:val="99"/>
    <w:semiHidden/>
    <w:rsid w:val="00AD44C7"/>
    <w:rPr>
      <w:rFonts w:cs="Times New Roman"/>
      <w:color w:val="0000FF"/>
      <w:u w:val="single"/>
    </w:rPr>
  </w:style>
  <w:style w:type="paragraph" w:styleId="NormalWeb">
    <w:name w:val="Normal (Web)"/>
    <w:basedOn w:val="Normal"/>
    <w:uiPriority w:val="99"/>
    <w:semiHidden/>
    <w:rsid w:val="00AD44C7"/>
    <w:pPr>
      <w:spacing w:after="150" w:line="372" w:lineRule="atLeast"/>
    </w:pPr>
    <w:rPr>
      <w:rFonts w:ascii="Helvetica" w:eastAsia="Times New Roman" w:hAnsi="Helvetica" w:cs="Helvetica"/>
      <w:sz w:val="24"/>
      <w:szCs w:val="24"/>
      <w:lang w:eastAsia="en-GB"/>
    </w:rPr>
  </w:style>
  <w:style w:type="character" w:styleId="Emphasis">
    <w:name w:val="Emphasis"/>
    <w:basedOn w:val="DefaultParagraphFont"/>
    <w:uiPriority w:val="99"/>
    <w:qFormat/>
    <w:rsid w:val="00FF14AE"/>
    <w:rPr>
      <w:rFonts w:cs="Times New Roman"/>
      <w:b/>
      <w:bCs/>
    </w:rPr>
  </w:style>
  <w:style w:type="paragraph" w:customStyle="1" w:styleId="ActionPlan">
    <w:name w:val="ActionPlan"/>
    <w:basedOn w:val="Normal"/>
    <w:uiPriority w:val="99"/>
    <w:rsid w:val="00CC09DA"/>
    <w:pPr>
      <w:keepLines/>
      <w:numPr>
        <w:numId w:val="3"/>
      </w:numPr>
      <w:spacing w:before="60" w:after="60" w:line="240" w:lineRule="auto"/>
    </w:pPr>
    <w:rPr>
      <w:rFonts w:ascii="Arial" w:eastAsia="Times New Roman" w:hAnsi="Arial"/>
      <w:sz w:val="24"/>
      <w:szCs w:val="24"/>
      <w:lang w:eastAsia="en-GB"/>
    </w:rPr>
  </w:style>
  <w:style w:type="paragraph" w:customStyle="1" w:styleId="Tabletext">
    <w:name w:val="Table text"/>
    <w:basedOn w:val="Normal"/>
    <w:uiPriority w:val="99"/>
    <w:rsid w:val="00C073B8"/>
    <w:pPr>
      <w:keepLines/>
      <w:spacing w:before="60" w:after="60" w:line="240" w:lineRule="auto"/>
    </w:pPr>
    <w:rPr>
      <w:rFonts w:ascii="Arial" w:eastAsia="Times New Roman" w:hAnsi="Arial"/>
      <w:sz w:val="24"/>
      <w:szCs w:val="24"/>
      <w:lang w:eastAsia="en-GB"/>
    </w:rPr>
  </w:style>
  <w:style w:type="paragraph" w:customStyle="1" w:styleId="Tableheader">
    <w:name w:val="Table header"/>
    <w:basedOn w:val="Normal"/>
    <w:uiPriority w:val="99"/>
    <w:rsid w:val="00C073B8"/>
    <w:pPr>
      <w:keepLines/>
      <w:spacing w:before="120" w:after="120" w:line="240" w:lineRule="auto"/>
    </w:pPr>
    <w:rPr>
      <w:rFonts w:ascii="Arial" w:eastAsia="Times New Roman" w:hAnsi="Arial"/>
      <w:b/>
      <w:sz w:val="24"/>
      <w:szCs w:val="24"/>
      <w:lang w:eastAsia="en-GB"/>
    </w:rPr>
  </w:style>
  <w:style w:type="paragraph" w:customStyle="1" w:styleId="Figurelead-in">
    <w:name w:val="Figure lead-in"/>
    <w:basedOn w:val="Normal"/>
    <w:next w:val="Bodytextnumbered"/>
    <w:uiPriority w:val="99"/>
    <w:rsid w:val="00C073B8"/>
    <w:pPr>
      <w:keepNext/>
      <w:keepLines/>
      <w:spacing w:before="60" w:after="120" w:line="240" w:lineRule="auto"/>
      <w:ind w:left="397"/>
    </w:pPr>
    <w:rPr>
      <w:rFonts w:ascii="Arial" w:eastAsia="Times New Roman" w:hAnsi="Arial" w:cs="Arial"/>
      <w:sz w:val="24"/>
      <w:szCs w:val="32"/>
      <w:lang w:eastAsia="en-GB"/>
    </w:rPr>
  </w:style>
  <w:style w:type="paragraph" w:customStyle="1" w:styleId="bullet10">
    <w:name w:val="bullet1"/>
    <w:basedOn w:val="Normal"/>
    <w:uiPriority w:val="99"/>
    <w:rsid w:val="0047151A"/>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rsid w:val="0047151A"/>
    <w:rPr>
      <w:rFonts w:ascii="Tahoma" w:hAnsi="Tahoma" w:cs="Tahoma"/>
      <w:sz w:val="16"/>
      <w:szCs w:val="16"/>
    </w:rPr>
  </w:style>
  <w:style w:type="character" w:customStyle="1" w:styleId="BalloonTextChar">
    <w:name w:val="Balloon Text Char"/>
    <w:basedOn w:val="DefaultParagraphFont"/>
    <w:link w:val="BalloonText"/>
    <w:uiPriority w:val="99"/>
    <w:semiHidden/>
    <w:rsid w:val="00A40216"/>
    <w:rPr>
      <w:rFonts w:ascii="Times New Roman" w:hAnsi="Times New Roman"/>
      <w:lang w:eastAsia="en-US"/>
    </w:rPr>
  </w:style>
  <w:style w:type="character" w:styleId="CommentReference">
    <w:name w:val="annotation reference"/>
    <w:basedOn w:val="DefaultParagraphFont"/>
    <w:uiPriority w:val="99"/>
    <w:semiHidden/>
    <w:rsid w:val="00B06A00"/>
    <w:rPr>
      <w:rFonts w:cs="Times New Roman"/>
      <w:sz w:val="16"/>
      <w:szCs w:val="16"/>
    </w:rPr>
  </w:style>
  <w:style w:type="paragraph" w:styleId="CommentText">
    <w:name w:val="annotation text"/>
    <w:basedOn w:val="Normal"/>
    <w:link w:val="CommentTextChar"/>
    <w:uiPriority w:val="99"/>
    <w:semiHidden/>
    <w:rsid w:val="00B06A00"/>
    <w:rPr>
      <w:sz w:val="20"/>
      <w:szCs w:val="20"/>
    </w:rPr>
  </w:style>
  <w:style w:type="character" w:customStyle="1" w:styleId="CommentTextChar">
    <w:name w:val="Comment Text Char"/>
    <w:basedOn w:val="DefaultParagraphFont"/>
    <w:link w:val="CommentText"/>
    <w:uiPriority w:val="99"/>
    <w:semiHidden/>
    <w:rsid w:val="00A40216"/>
    <w:rPr>
      <w:sz w:val="20"/>
      <w:szCs w:val="20"/>
      <w:lang w:eastAsia="en-US"/>
    </w:rPr>
  </w:style>
  <w:style w:type="paragraph" w:styleId="CommentSubject">
    <w:name w:val="annotation subject"/>
    <w:basedOn w:val="CommentText"/>
    <w:next w:val="CommentText"/>
    <w:link w:val="CommentSubjectChar"/>
    <w:uiPriority w:val="99"/>
    <w:semiHidden/>
    <w:rsid w:val="00B06A00"/>
    <w:rPr>
      <w:b/>
      <w:bCs/>
    </w:rPr>
  </w:style>
  <w:style w:type="character" w:customStyle="1" w:styleId="CommentSubjectChar">
    <w:name w:val="Comment Subject Char"/>
    <w:basedOn w:val="CommentTextChar"/>
    <w:link w:val="CommentSubject"/>
    <w:uiPriority w:val="99"/>
    <w:semiHidden/>
    <w:rsid w:val="00A40216"/>
    <w:rPr>
      <w:b/>
      <w:bCs/>
      <w:sz w:val="20"/>
      <w:szCs w:val="20"/>
      <w:lang w:eastAsia="en-US"/>
    </w:rPr>
  </w:style>
  <w:style w:type="paragraph" w:styleId="Header">
    <w:name w:val="header"/>
    <w:basedOn w:val="Normal"/>
    <w:link w:val="HeaderChar"/>
    <w:uiPriority w:val="99"/>
    <w:unhideWhenUsed/>
    <w:rsid w:val="002C3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503"/>
    <w:rPr>
      <w:lang w:eastAsia="en-US"/>
    </w:rPr>
  </w:style>
  <w:style w:type="paragraph" w:styleId="Footer">
    <w:name w:val="footer"/>
    <w:basedOn w:val="Normal"/>
    <w:link w:val="FooterChar"/>
    <w:uiPriority w:val="99"/>
    <w:unhideWhenUsed/>
    <w:rsid w:val="002C3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503"/>
    <w:rPr>
      <w:lang w:eastAsia="en-US"/>
    </w:rPr>
  </w:style>
  <w:style w:type="paragraph" w:customStyle="1" w:styleId="Default">
    <w:name w:val="Default"/>
    <w:rsid w:val="00C15A80"/>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8A146B"/>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8A146B"/>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ED2C-8BFE-413B-BD8F-5721E410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1015</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rlowry001</dc:creator>
  <cp:lastModifiedBy>Jones, Debra</cp:lastModifiedBy>
  <cp:revision>4</cp:revision>
  <cp:lastPrinted>2017-06-05T09:06:00Z</cp:lastPrinted>
  <dcterms:created xsi:type="dcterms:W3CDTF">2019-06-03T15:26:00Z</dcterms:created>
  <dcterms:modified xsi:type="dcterms:W3CDTF">2019-06-11T14:49:00Z</dcterms:modified>
</cp:coreProperties>
</file>